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75F32">
      <w:pPr>
        <w:jc w:val="center"/>
        <w:rPr>
          <w:rFonts w:ascii="Times New Roman" w:hAnsi="Times New Roman" w:eastAsia="微软雅黑"/>
          <w:sz w:val="48"/>
          <w:szCs w:val="48"/>
        </w:rPr>
      </w:pPr>
      <w:r>
        <w:rPr>
          <w:rFonts w:hint="eastAsia" w:ascii="Times New Roman" w:hAnsi="Times New Roman" w:eastAsia="微软雅黑"/>
          <w:sz w:val="48"/>
          <w:szCs w:val="48"/>
          <w:lang w:val="en-US" w:eastAsia="zh-CN"/>
        </w:rPr>
        <w:t>结题</w:t>
      </w:r>
      <w:r>
        <w:rPr>
          <w:rFonts w:hint="eastAsia" w:ascii="Times New Roman" w:hAnsi="Times New Roman" w:eastAsia="微软雅黑"/>
          <w:sz w:val="48"/>
          <w:szCs w:val="48"/>
        </w:rPr>
        <w:t>报告</w:t>
      </w:r>
    </w:p>
    <w:p w14:paraId="4514BF91">
      <w:pPr>
        <w:jc w:val="center"/>
        <w:rPr>
          <w:rFonts w:ascii="华文楷体" w:hAnsi="华文楷体" w:eastAsia="华文楷体" w:cs="华文楷体"/>
          <w:sz w:val="44"/>
          <w:szCs w:val="44"/>
        </w:rPr>
      </w:pPr>
    </w:p>
    <w:p w14:paraId="3D93C7D0">
      <w:pPr>
        <w:jc w:val="center"/>
        <w:rPr>
          <w:rFonts w:ascii="华文楷体" w:hAnsi="华文楷体" w:eastAsia="华文楷体" w:cs="华文楷体"/>
          <w:sz w:val="44"/>
          <w:szCs w:val="44"/>
        </w:rPr>
      </w:pPr>
    </w:p>
    <w:p w14:paraId="0E754606">
      <w:pPr>
        <w:tabs>
          <w:tab w:val="left" w:pos="2452"/>
          <w:tab w:val="center" w:pos="4213"/>
        </w:tabs>
        <w:jc w:val="left"/>
        <w:rPr>
          <w:rFonts w:ascii="华文楷体" w:hAnsi="华文楷体" w:eastAsia="华文楷体" w:cs="华文楷体"/>
          <w:sz w:val="44"/>
          <w:szCs w:val="44"/>
        </w:rPr>
      </w:pPr>
    </w:p>
    <w:p w14:paraId="640F2FD1">
      <w:pPr>
        <w:spacing w:before="156" w:beforeLines="50"/>
        <w:ind w:firstLine="320" w:firstLineChars="100"/>
        <w:jc w:val="left"/>
        <w:rPr>
          <w:rFonts w:ascii="黑体" w:hAnsi="黑体" w:eastAsia="黑体" w:cs="黑体"/>
          <w:sz w:val="24"/>
          <w:szCs w:val="24"/>
          <w:u w:val="single"/>
        </w:rPr>
      </w:pPr>
      <w:bookmarkStart w:id="0" w:name="_GoBack"/>
      <w:bookmarkEnd w:id="0"/>
      <w:r>
        <w:rPr>
          <w:rFonts w:hint="eastAsia" w:ascii="Times New Roman" w:hAnsi="Times New Roman" w:eastAsia="微软雅黑"/>
          <w:sz w:val="32"/>
          <w:szCs w:val="32"/>
        </w:rPr>
        <w:t>研究课题：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  <w:t>一城烟火，两载春秋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eastAsia="zh-CN"/>
        </w:rPr>
        <w:t>”—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  <w:t>苏轼在徐州的时间及空间记忆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           </w:t>
      </w:r>
      <w:r>
        <w:rPr>
          <w:rFonts w:ascii="黑体" w:hAnsi="黑体" w:eastAsia="黑体" w:cs="黑体"/>
          <w:sz w:val="24"/>
          <w:szCs w:val="24"/>
          <w:u w:val="single"/>
        </w:rPr>
        <w:t xml:space="preserve"> </w:t>
      </w:r>
    </w:p>
    <w:p w14:paraId="0806086B">
      <w:pPr>
        <w:spacing w:before="156" w:beforeLines="50"/>
        <w:ind w:firstLine="42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学</w:t>
      </w:r>
      <w:r>
        <w:rPr>
          <w:rFonts w:ascii="Times New Roman" w:hAnsi="Times New Roman" w:eastAsia="微软雅黑"/>
          <w:sz w:val="32"/>
          <w:szCs w:val="32"/>
        </w:rPr>
        <w:t xml:space="preserve">    </w:t>
      </w:r>
      <w:r>
        <w:rPr>
          <w:rFonts w:hint="eastAsia" w:ascii="Times New Roman" w:hAnsi="Times New Roman" w:eastAsia="微软雅黑"/>
          <w:sz w:val="32"/>
          <w:szCs w:val="32"/>
        </w:rPr>
        <w:t>校：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徐州市矿大实验学校　　 </w:t>
      </w:r>
      <w:r>
        <w:rPr>
          <w:rFonts w:ascii="宋体" w:hAnsi="宋体"/>
          <w:sz w:val="32"/>
          <w:szCs w:val="32"/>
          <w:u w:val="single"/>
        </w:rPr>
        <w:t xml:space="preserve">        </w:t>
      </w:r>
    </w:p>
    <w:p w14:paraId="4B0B7485">
      <w:pPr>
        <w:spacing w:before="156" w:beforeLines="50"/>
        <w:ind w:firstLine="42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班</w:t>
      </w:r>
      <w:r>
        <w:rPr>
          <w:rFonts w:ascii="Times New Roman" w:hAnsi="Times New Roman" w:eastAsia="微软雅黑"/>
          <w:sz w:val="32"/>
          <w:szCs w:val="32"/>
        </w:rPr>
        <w:t xml:space="preserve">    </w:t>
      </w:r>
      <w:r>
        <w:rPr>
          <w:rFonts w:hint="eastAsia" w:ascii="Times New Roman" w:hAnsi="Times New Roman" w:eastAsia="微软雅黑"/>
          <w:sz w:val="32"/>
          <w:szCs w:val="32"/>
        </w:rPr>
        <w:t>级：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高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（9）班 </w:t>
      </w:r>
      <w:r>
        <w:rPr>
          <w:rFonts w:ascii="宋体" w:hAnsi="宋体"/>
          <w:sz w:val="32"/>
          <w:szCs w:val="32"/>
          <w:u w:val="single"/>
        </w:rPr>
        <w:t xml:space="preserve">                </w:t>
      </w:r>
    </w:p>
    <w:p w14:paraId="5D8A9245">
      <w:pPr>
        <w:spacing w:before="156" w:beforeLines="50"/>
        <w:ind w:firstLine="420"/>
        <w:jc w:val="left"/>
        <w:rPr>
          <w:rFonts w:ascii="Times New Roman" w:hAnsi="Times New Roman" w:eastAsia="微软雅黑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小组成员：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张紫玥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张镱涵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微软雅黑"/>
          <w:sz w:val="28"/>
          <w:szCs w:val="28"/>
          <w:u w:val="single"/>
        </w:rPr>
        <w:t xml:space="preserve">           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10F58F4C">
      <w:pPr>
        <w:tabs>
          <w:tab w:val="left" w:pos="2452"/>
          <w:tab w:val="center" w:pos="4213"/>
        </w:tabs>
        <w:ind w:firstLine="480" w:firstLineChars="15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指导教师：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微软雅黑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微软雅黑"/>
          <w:sz w:val="32"/>
          <w:szCs w:val="32"/>
          <w:u w:val="single"/>
          <w:lang w:val="en-US" w:eastAsia="zh-CN"/>
        </w:rPr>
        <w:t>杨双</w:t>
      </w:r>
      <w:r>
        <w:rPr>
          <w:rFonts w:ascii="宋体" w:hAnsi="宋体"/>
          <w:sz w:val="32"/>
          <w:szCs w:val="32"/>
          <w:u w:val="single"/>
        </w:rPr>
        <w:t xml:space="preserve">                  </w:t>
      </w:r>
    </w:p>
    <w:p w14:paraId="40393A4D">
      <w:pPr>
        <w:tabs>
          <w:tab w:val="left" w:pos="2452"/>
          <w:tab w:val="center" w:pos="4213"/>
        </w:tabs>
        <w:ind w:firstLine="480" w:firstLineChars="150"/>
        <w:jc w:val="left"/>
        <w:rPr>
          <w:rFonts w:ascii="宋体" w:hAnsi="宋体"/>
          <w:sz w:val="32"/>
          <w:szCs w:val="32"/>
          <w:u w:val="single"/>
        </w:rPr>
      </w:pPr>
    </w:p>
    <w:p w14:paraId="3B8B74E7">
      <w:pPr>
        <w:rPr>
          <w:rFonts w:hint="eastAsia"/>
          <w:b/>
          <w:bCs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66ACEE6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一、研究过程回顾</w:t>
      </w:r>
    </w:p>
    <w:p w14:paraId="0F502A52"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 xml:space="preserve"> 本课题围绕“苏轼在徐州”展开，从四条线索进行探究：</w:t>
      </w:r>
    </w:p>
    <w:p w14:paraId="68E3E8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政绩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</w:rPr>
        <w:t>聚焦熙宁十年黄河决口，考察苏轼“庐于城上，过家不入”的抗洪壮举，以及寻石炭、祈雨谢雨等民生实践，厘清其从“官员”向“亲人”身份转变的关键节点。</w:t>
      </w:r>
    </w:p>
    <w:p w14:paraId="004839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文本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</w:rPr>
        <w:t>深入解读《放鹤亭记》《九日黄楼作》《石炭并引》《浣溪沙》五首、《江城子·别徐州》等作品，从抗洪诗文的紧迫感、谢雨词的松弛感、离别词的眷恋感中，勾勒苏轼徐州时期的情感光谱。</w:t>
      </w:r>
    </w:p>
    <w:p w14:paraId="25ABB8D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建筑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</w:rPr>
        <w:t>以云龙山放鹤亭、黄楼、五省通衢牌坊为切入点，探究其精神关联——放鹤亭寄托超脱，黄楼铭刻功业，五省通衢象征格局，三处建筑构成苏轼精神世界的三维坐标。</w:t>
      </w:r>
    </w:p>
    <w:p w14:paraId="4700D93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将政绩、文本、建筑、情感四者整合，论证徐州时期是苏轼实现入世与超脱精神平衡的关键阶段。</w:t>
      </w:r>
    </w:p>
    <w:p w14:paraId="18239E3F">
      <w:pPr>
        <w:rPr>
          <w:rFonts w:hint="eastAsia"/>
        </w:rPr>
      </w:pPr>
    </w:p>
    <w:p w14:paraId="55E49472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二、研究结论</w:t>
      </w:r>
    </w:p>
    <w:p w14:paraId="258D9A0C"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第一，徐州时期是苏轼身份认同的转折点。抗洪“庐于城上，过家不入”，使其从“朝廷官员”转变为“百姓亲人”。《浣溪沙》“道逢醉叟卧黄昏”的松弛场景，印证了官民间的深厚信任。</w:t>
      </w:r>
    </w:p>
    <w:p w14:paraId="47F229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第二</w:t>
      </w:r>
      <w:r>
        <w:rPr>
          <w:rFonts w:hint="eastAsia"/>
          <w:sz w:val="28"/>
          <w:szCs w:val="28"/>
        </w:rPr>
        <w:t>，建筑遗迹是精神世界的外化载体。放鹤亭象征自由，黄楼升华为文化地标，五省通衢牌坊代表天下格局。三处建筑历经千年，成为苏轼精神印记的物化见证。</w:t>
      </w:r>
    </w:p>
    <w:p w14:paraId="1115F8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第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，徐州时期对苏轼人格形成具有关键意义。正是在徐州，苏轼初步实现入世而不沉溺、超脱而不逃避的精神整合，为后来“一蓑烟雨任平生”的境界铺就底色。</w:t>
      </w:r>
    </w:p>
    <w:p w14:paraId="2546A8DD">
      <w:pPr>
        <w:rPr>
          <w:rFonts w:hint="eastAsia"/>
          <w:sz w:val="28"/>
          <w:szCs w:val="28"/>
        </w:rPr>
      </w:pPr>
    </w:p>
    <w:p w14:paraId="192745C3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三、心得感悟</w:t>
      </w:r>
    </w:p>
    <w:p w14:paraId="6631C831"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其一，知人论世，方见深情。 读《放鹤亭记》，了解抗洪背景后方懂“南面之君”与“隐居之乐”对比的深意——那是苏轼在劳顿中对精神自由的向往。</w:t>
      </w:r>
    </w:p>
    <w:p w14:paraId="1706AF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其二，建筑是会说话的历史。站在黄楼前，抗洪的惊心动魄、落成的欢欣鼓舞、离别的依依不舍，仿佛穿越时空扑面而来。建筑是情感的容器，读懂建筑，就读懂了一座城市与一位诗人的对话。</w:t>
      </w:r>
    </w:p>
    <w:p w14:paraId="0A8AD4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其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，情感可以跨越千年。九百余年过去，徐州百姓仍称“苏堤”，仍修黄楼，仍传苏轼故事。真诚的情感不会被时间湮没，它是一座城市永恒的记忆。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85F16"/>
    <w:rsid w:val="47D71697"/>
    <w:rsid w:val="4D5A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842</Words>
  <Characters>842</Characters>
  <Lines>0</Lines>
  <Paragraphs>0</Paragraphs>
  <TotalTime>1</TotalTime>
  <ScaleCrop>false</ScaleCrop>
  <LinksUpToDate>false</LinksUpToDate>
  <CharactersWithSpaces>1006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2026-03-03T12:45:00Z</dcterms:created>
  <dc:creator>earlybird</dc:creator>
  <cp:lastModifiedBy>糖炒栗紫（zzy）</cp:lastModifiedBy>
  <dcterms:modified xsi:type="dcterms:W3CDTF">2026-03-09T14:38:21Z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eyJoZGlkIjoiNjllMTQ1N2NiYWJhNmE3MmJmNjczYjE3MmE0Mzc5ZDEiLCJ1c2VySWQiOiIxMzI5MDk1MzI4In0=</vt:lpwstr>
  </property>
  <property fmtid="{D5CDD505-2E9C-101B-9397-08002B2CF9AE}" pid="4" name="ICV">
    <vt:lpwstr>96EE1A8C449447D39D43B76667BC1B8D_13</vt:lpwstr>
  </property>
</Properties>
</file>